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EC" w:rsidRDefault="00E179EC" w:rsidP="00AF268A">
      <w:pPr>
        <w:jc w:val="right"/>
        <w:rPr>
          <w:rFonts w:hint="cs"/>
          <w:rtl/>
          <w:lang w:bidi="ar-IQ"/>
        </w:rPr>
      </w:pPr>
    </w:p>
    <w:p w:rsidR="006046EA" w:rsidRPr="006D6840" w:rsidRDefault="006046EA" w:rsidP="00644644">
      <w:pPr>
        <w:jc w:val="center"/>
        <w:rPr>
          <w:b/>
          <w:bCs/>
          <w:sz w:val="28"/>
          <w:szCs w:val="28"/>
          <w:rtl/>
          <w:lang w:bidi="ar-IQ"/>
        </w:rPr>
      </w:pPr>
      <w:r w:rsidRPr="00E179EC">
        <w:rPr>
          <w:rFonts w:hint="cs"/>
          <w:sz w:val="28"/>
          <w:szCs w:val="28"/>
          <w:rtl/>
          <w:lang w:bidi="ar-IQ"/>
        </w:rPr>
        <w:t>م</w:t>
      </w:r>
      <w:r w:rsidRPr="006D6840">
        <w:rPr>
          <w:rFonts w:hint="cs"/>
          <w:b/>
          <w:bCs/>
          <w:sz w:val="28"/>
          <w:szCs w:val="28"/>
          <w:rtl/>
          <w:lang w:bidi="ar-IQ"/>
        </w:rPr>
        <w:t xml:space="preserve">/ </w:t>
      </w:r>
      <w:r w:rsidR="004F2760" w:rsidRPr="006D6840">
        <w:rPr>
          <w:rFonts w:hint="cs"/>
          <w:b/>
          <w:bCs/>
          <w:sz w:val="28"/>
          <w:szCs w:val="28"/>
          <w:rtl/>
          <w:lang w:bidi="ar-IQ"/>
        </w:rPr>
        <w:t>آلية</w:t>
      </w:r>
      <w:r w:rsidRPr="006D6840">
        <w:rPr>
          <w:rFonts w:hint="cs"/>
          <w:b/>
          <w:bCs/>
          <w:sz w:val="28"/>
          <w:szCs w:val="28"/>
          <w:rtl/>
          <w:lang w:bidi="ar-IQ"/>
        </w:rPr>
        <w:t xml:space="preserve"> وشروط تسجيل</w:t>
      </w:r>
      <w:r w:rsidR="00644644">
        <w:rPr>
          <w:rFonts w:hint="cs"/>
          <w:b/>
          <w:bCs/>
          <w:sz w:val="28"/>
          <w:szCs w:val="28"/>
          <w:rtl/>
          <w:lang w:bidi="ar-IQ"/>
        </w:rPr>
        <w:t xml:space="preserve"> المستحضرات</w:t>
      </w:r>
    </w:p>
    <w:p w:rsidR="00692CED" w:rsidRPr="00E179EC" w:rsidRDefault="00692CED" w:rsidP="00144064">
      <w:pPr>
        <w:spacing w:after="0" w:line="240" w:lineRule="auto"/>
        <w:jc w:val="right"/>
        <w:rPr>
          <w:sz w:val="28"/>
          <w:szCs w:val="28"/>
          <w:lang w:bidi="ar-IQ"/>
        </w:rPr>
      </w:pPr>
    </w:p>
    <w:p w:rsidR="00B2368F" w:rsidRPr="00E179EC" w:rsidRDefault="004F2760" w:rsidP="00277810">
      <w:pPr>
        <w:ind w:right="-22"/>
        <w:jc w:val="right"/>
        <w:rPr>
          <w:sz w:val="28"/>
          <w:szCs w:val="28"/>
          <w:rtl/>
          <w:lang w:bidi="ar-IQ"/>
        </w:rPr>
      </w:pPr>
      <w:r w:rsidRPr="00E179EC">
        <w:rPr>
          <w:rFonts w:hint="cs"/>
          <w:sz w:val="28"/>
          <w:szCs w:val="28"/>
          <w:rtl/>
          <w:lang w:bidi="ar-IQ"/>
        </w:rPr>
        <w:t>أولاً</w:t>
      </w:r>
      <w:r w:rsidR="007356F4">
        <w:rPr>
          <w:rFonts w:hint="cs"/>
          <w:sz w:val="28"/>
          <w:szCs w:val="28"/>
          <w:rtl/>
          <w:lang w:bidi="ar-IQ"/>
        </w:rPr>
        <w:t xml:space="preserve">- </w:t>
      </w:r>
      <w:r w:rsidR="001B7C4E" w:rsidRPr="00E179EC">
        <w:rPr>
          <w:rFonts w:hint="cs"/>
          <w:sz w:val="28"/>
          <w:szCs w:val="28"/>
          <w:rtl/>
          <w:lang w:bidi="ar-IQ"/>
        </w:rPr>
        <w:t>تحديد متطل</w:t>
      </w:r>
      <w:r w:rsidR="002711DD" w:rsidRPr="00E179EC">
        <w:rPr>
          <w:rFonts w:hint="cs"/>
          <w:sz w:val="28"/>
          <w:szCs w:val="28"/>
          <w:rtl/>
          <w:lang w:bidi="ar-IQ"/>
        </w:rPr>
        <w:t>بات ملف تسجيل مستحضر دوائي وهي:</w:t>
      </w:r>
      <w:r w:rsidR="00C838BE" w:rsidRPr="00E179EC">
        <w:rPr>
          <w:rFonts w:hint="cs"/>
          <w:sz w:val="28"/>
          <w:szCs w:val="28"/>
          <w:rtl/>
          <w:lang w:bidi="ar-IQ"/>
        </w:rPr>
        <w:t>-</w:t>
      </w:r>
    </w:p>
    <w:p w:rsidR="00B2368F" w:rsidRPr="00E179EC" w:rsidRDefault="00B2368F" w:rsidP="00E762C0">
      <w:pPr>
        <w:bidi/>
        <w:spacing w:after="0" w:line="240" w:lineRule="auto"/>
        <w:jc w:val="both"/>
        <w:rPr>
          <w:sz w:val="28"/>
          <w:szCs w:val="28"/>
          <w:rtl/>
          <w:lang w:bidi="ar-IQ"/>
        </w:rPr>
      </w:pPr>
    </w:p>
    <w:p w:rsidR="00B2368F" w:rsidRPr="00E179EC" w:rsidRDefault="00B2368F" w:rsidP="00E762C0">
      <w:pPr>
        <w:numPr>
          <w:ilvl w:val="0"/>
          <w:numId w:val="1"/>
        </w:numPr>
        <w:tabs>
          <w:tab w:val="center" w:pos="-142"/>
          <w:tab w:val="left" w:pos="15"/>
          <w:tab w:val="left" w:pos="1275"/>
        </w:tabs>
        <w:bidi/>
        <w:spacing w:after="0" w:line="240" w:lineRule="auto"/>
        <w:ind w:left="1080" w:right="-2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نسخة </w:t>
      </w:r>
      <w:r w:rsidR="005E1AA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أصلية </w:t>
      </w: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من كتاب تخويل الشركة للمكتب العلمي أو للشخص المخول في حالة التمثيل المباشر</w:t>
      </w:r>
    </w:p>
    <w:p w:rsidR="00B2368F" w:rsidRPr="00E179EC" w:rsidRDefault="00E179EC" w:rsidP="00E762C0">
      <w:pPr>
        <w:numPr>
          <w:ilvl w:val="0"/>
          <w:numId w:val="1"/>
        </w:numPr>
        <w:tabs>
          <w:tab w:val="left" w:pos="15"/>
          <w:tab w:val="center" w:pos="1134"/>
          <w:tab w:val="left" w:pos="1275"/>
        </w:tabs>
        <w:bidi/>
        <w:spacing w:after="0" w:line="240" w:lineRule="auto"/>
        <w:ind w:left="1080" w:right="-2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استمارة</w:t>
      </w:r>
      <w:r w:rsidR="00A166A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تسجيل مستحضر صيدلاني  تملأ</w:t>
      </w:r>
      <w:r w:rsidR="00B2368F"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من قبل الشركة المسجلة للمستحضر وتوقع وتختم بختم حي لكل صفحة من قبل مدير الشركة </w:t>
      </w:r>
      <w:r w:rsidR="005E1AA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المصنعة </w:t>
      </w:r>
      <w:r w:rsidR="00EE3AB2"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أو</w:t>
      </w:r>
      <w:r w:rsidR="00B2368F"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المسؤول الفني.</w:t>
      </w:r>
    </w:p>
    <w:p w:rsidR="00B2368F" w:rsidRPr="00E179EC" w:rsidRDefault="00B2368F" w:rsidP="00E762C0">
      <w:pPr>
        <w:numPr>
          <w:ilvl w:val="0"/>
          <w:numId w:val="1"/>
        </w:numPr>
        <w:tabs>
          <w:tab w:val="left" w:pos="15"/>
          <w:tab w:val="center" w:pos="1134"/>
          <w:tab w:val="left" w:pos="1275"/>
        </w:tabs>
        <w:bidi/>
        <w:spacing w:after="0" w:line="240" w:lineRule="auto"/>
        <w:ind w:left="1080" w:right="-2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شهادات للمستحضر المراد تسجيله وكالتالي :</w:t>
      </w:r>
    </w:p>
    <w:p w:rsidR="00B2368F" w:rsidRPr="00E179EC" w:rsidRDefault="00B2368F" w:rsidP="00E762C0">
      <w:pPr>
        <w:numPr>
          <w:ilvl w:val="0"/>
          <w:numId w:val="2"/>
        </w:numPr>
        <w:tabs>
          <w:tab w:val="left" w:pos="15"/>
          <w:tab w:val="center" w:pos="1134"/>
          <w:tab w:val="left" w:pos="1275"/>
        </w:tabs>
        <w:bidi/>
        <w:spacing w:after="0" w:line="240" w:lineRule="auto"/>
        <w:ind w:right="-2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شهادة 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مستحضر صيدلاني (</w:t>
      </w:r>
      <w:r w:rsidR="00573CCE">
        <w:rPr>
          <w:rFonts w:ascii="Times New Roman" w:eastAsia="Times New Roman" w:hAnsi="Times New Roman" w:cs="Times New Roman"/>
          <w:sz w:val="28"/>
          <w:szCs w:val="28"/>
          <w:lang w:bidi="ar-IQ"/>
        </w:rPr>
        <w:t>CPP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) </w:t>
      </w: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الصادرة من </w:t>
      </w: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بلد المنشأ </w:t>
      </w:r>
      <w:r w:rsidR="00E179EC"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للمستحضر المرا</w:t>
      </w:r>
      <w:r w:rsidR="00E179EC" w:rsidRPr="00E179EC">
        <w:rPr>
          <w:rFonts w:ascii="Times New Roman" w:eastAsia="Times New Roman" w:hAnsi="Times New Roman" w:cs="Times New Roman" w:hint="eastAsia"/>
          <w:sz w:val="28"/>
          <w:szCs w:val="28"/>
          <w:rtl/>
          <w:lang w:bidi="ar-IQ"/>
        </w:rPr>
        <w:t>د</w:t>
      </w:r>
      <w:r w:rsid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تسجيله  أصلية ومصدقة أصولياً </w:t>
      </w: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غير </w:t>
      </w:r>
      <w:r w:rsidR="00E179EC"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منتهية</w:t>
      </w: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المفعول مثبت فيها العراق كبلد مستورد</w:t>
      </w:r>
    </w:p>
    <w:p w:rsidR="00B2368F" w:rsidRPr="00E179EC" w:rsidRDefault="00B2368F" w:rsidP="00E762C0">
      <w:pPr>
        <w:tabs>
          <w:tab w:val="left" w:pos="15"/>
          <w:tab w:val="center" w:pos="1134"/>
          <w:tab w:val="left" w:pos="1275"/>
        </w:tabs>
        <w:bidi/>
        <w:spacing w:after="0" w:line="240" w:lineRule="auto"/>
        <w:ind w:left="1440" w:right="-2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B2368F" w:rsidRPr="00E179EC" w:rsidRDefault="00B2368F" w:rsidP="00E762C0">
      <w:pPr>
        <w:tabs>
          <w:tab w:val="left" w:pos="15"/>
          <w:tab w:val="center" w:pos="1134"/>
          <w:tab w:val="left" w:pos="1275"/>
        </w:tabs>
        <w:bidi/>
        <w:spacing w:after="0" w:line="240" w:lineRule="auto"/>
        <w:ind w:right="-251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E179E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توضيح</w:t>
      </w:r>
      <w:r w:rsidR="00EE3AB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في حال عدم تحديد تاريخ صلاحية شهادة المستحضر الصيدلاني يتم اعتبارها نافذة خلال ثلاث سنوات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من تاريخ صدورها .</w:t>
      </w:r>
    </w:p>
    <w:p w:rsidR="00B2368F" w:rsidRPr="00EE3AB2" w:rsidRDefault="00B2368F" w:rsidP="00A166AD">
      <w:pPr>
        <w:pStyle w:val="ListParagraph"/>
        <w:numPr>
          <w:ilvl w:val="0"/>
          <w:numId w:val="2"/>
        </w:numPr>
        <w:tabs>
          <w:tab w:val="left" w:pos="15"/>
          <w:tab w:val="center" w:pos="441"/>
          <w:tab w:val="left" w:pos="724"/>
        </w:tabs>
        <w:spacing w:before="100" w:beforeAutospacing="1" w:after="0" w:line="240" w:lineRule="auto"/>
        <w:ind w:right="-2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شهاد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ات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التسجيل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أو تسويق المستحضر صادرة  من الجهة الصحية او السلطة المسؤولة عن التسجيل  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المصدقة 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أصولياً 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(يجب </w:t>
      </w:r>
      <w:r w:rsidR="00573CCE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أن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تكون الشهادات غير </w:t>
      </w:r>
      <w:r w:rsidR="00A166A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منتهية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المفعول)</w:t>
      </w:r>
      <w:r w:rsidR="00573CCE" w:rsidRP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والمذكورة أدناه</w:t>
      </w:r>
      <w:r w:rsidR="00573CCE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:</w:t>
      </w:r>
    </w:p>
    <w:p w:rsidR="00B2368F" w:rsidRPr="00E179EC" w:rsidRDefault="00B2368F" w:rsidP="00E762C0">
      <w:pPr>
        <w:tabs>
          <w:tab w:val="left" w:pos="15"/>
          <w:tab w:val="left" w:pos="567"/>
        </w:tabs>
        <w:spacing w:after="0" w:line="240" w:lineRule="auto"/>
        <w:ind w:left="426" w:right="-22" w:hanging="514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E179EC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FDA(USA) , </w:t>
      </w:r>
      <w:proofErr w:type="spellStart"/>
      <w:r w:rsidRPr="00E179EC">
        <w:rPr>
          <w:rFonts w:ascii="Times New Roman" w:eastAsia="Times New Roman" w:hAnsi="Times New Roman" w:cs="Times New Roman"/>
          <w:sz w:val="28"/>
          <w:szCs w:val="28"/>
          <w:lang w:bidi="ar-IQ"/>
        </w:rPr>
        <w:t>Ema</w:t>
      </w:r>
      <w:proofErr w:type="spellEnd"/>
      <w:r w:rsidRPr="00E179EC">
        <w:rPr>
          <w:rFonts w:ascii="Times New Roman" w:eastAsia="Times New Roman" w:hAnsi="Times New Roman" w:cs="Times New Roman"/>
          <w:sz w:val="28"/>
          <w:szCs w:val="28"/>
          <w:lang w:bidi="ar-IQ"/>
        </w:rPr>
        <w:t>(European countries) , MHRA(</w:t>
      </w:r>
      <w:proofErr w:type="spellStart"/>
      <w:r w:rsidRPr="00E179EC">
        <w:rPr>
          <w:rFonts w:ascii="Times New Roman" w:eastAsia="Times New Roman" w:hAnsi="Times New Roman" w:cs="Times New Roman"/>
          <w:sz w:val="28"/>
          <w:szCs w:val="28"/>
          <w:lang w:bidi="ar-IQ"/>
        </w:rPr>
        <w:t>Uk</w:t>
      </w:r>
      <w:proofErr w:type="spellEnd"/>
      <w:r w:rsidRPr="00E179EC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) , TGA(Australia) </w:t>
      </w:r>
      <w:r w:rsidR="00EE3AB2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  </w:t>
      </w:r>
      <w:r w:rsidRPr="00E179EC">
        <w:rPr>
          <w:rFonts w:ascii="Times New Roman" w:eastAsia="Times New Roman" w:hAnsi="Times New Roman" w:cs="Times New Roman"/>
          <w:sz w:val="28"/>
          <w:szCs w:val="28"/>
          <w:lang w:bidi="ar-IQ"/>
        </w:rPr>
        <w:t>MHLW(Japan) , HPFB( Canada) , Swiss Medic(Switzerland) , GCC( gulf central committee )</w:t>
      </w:r>
    </w:p>
    <w:p w:rsidR="00504004" w:rsidRDefault="00EE3AB2" w:rsidP="00E762C0">
      <w:pPr>
        <w:bidi/>
        <w:spacing w:after="0" w:line="240" w:lineRule="auto"/>
        <w:jc w:val="both"/>
        <w:rPr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            </w:t>
      </w:r>
      <w:r w:rsidR="00B2368F" w:rsidRPr="00E179EC">
        <w:rPr>
          <w:rFonts w:hint="cs"/>
          <w:sz w:val="28"/>
          <w:szCs w:val="28"/>
          <w:rtl/>
          <w:lang w:bidi="ar-IQ"/>
        </w:rPr>
        <w:t>ال</w:t>
      </w:r>
      <w:r>
        <w:rPr>
          <w:rFonts w:hint="cs"/>
          <w:sz w:val="28"/>
          <w:szCs w:val="28"/>
          <w:rtl/>
          <w:lang w:bidi="ar-IQ"/>
        </w:rPr>
        <w:t>د</w:t>
      </w:r>
      <w:r w:rsidR="00B2368F" w:rsidRPr="00E179EC">
        <w:rPr>
          <w:rFonts w:hint="cs"/>
          <w:sz w:val="28"/>
          <w:szCs w:val="28"/>
          <w:rtl/>
          <w:lang w:bidi="ar-IQ"/>
        </w:rPr>
        <w:t>نمارك,</w:t>
      </w:r>
      <w:r w:rsidR="00504004" w:rsidRPr="00E179EC">
        <w:rPr>
          <w:rFonts w:hint="cs"/>
          <w:sz w:val="28"/>
          <w:szCs w:val="28"/>
          <w:rtl/>
          <w:lang w:bidi="ar-IQ"/>
        </w:rPr>
        <w:t>السويد,هولندا,المانيا,فرنسا,البرتغال,النرويج,بلجيكا,فنلندا,النمسا</w:t>
      </w:r>
    </w:p>
    <w:p w:rsidR="00EE3AB2" w:rsidRPr="00E179EC" w:rsidRDefault="00EE3AB2" w:rsidP="00E762C0">
      <w:pPr>
        <w:bidi/>
        <w:spacing w:after="0" w:line="240" w:lineRule="auto"/>
        <w:jc w:val="both"/>
        <w:rPr>
          <w:sz w:val="28"/>
          <w:szCs w:val="28"/>
          <w:lang w:bidi="ar-IQ"/>
        </w:rPr>
      </w:pPr>
    </w:p>
    <w:p w:rsidR="008455FA" w:rsidRPr="00EE3AB2" w:rsidRDefault="00504004" w:rsidP="00E852AD">
      <w:pPr>
        <w:pStyle w:val="ListParagraph"/>
        <w:numPr>
          <w:ilvl w:val="0"/>
          <w:numId w:val="2"/>
        </w:numPr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في حالة عدم توفر الشهادات الواردة في (ب) يتم تقديم شهادة تسجيل </w:t>
      </w:r>
      <w:r w:rsidR="00EE3AB2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أو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شهادة تسويق للمستحضر المراد تسجيله     مصدقة </w:t>
      </w:r>
      <w:r w:rsidR="00EE3AB2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أصوليا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(يجب </w:t>
      </w:r>
      <w:r w:rsidR="00EE3AB2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أن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تكون الشهادات غير </w:t>
      </w:r>
      <w:r w:rsidR="00E852A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منتهية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المفعول)من دولتين من الدول المعتمدة</w:t>
      </w:r>
      <w:r w:rsid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(دول الاتحاد </w:t>
      </w:r>
      <w:r w:rsidR="00EE3AB2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الأوربي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, دول مجلس التعاون الخليجي</w:t>
      </w:r>
      <w:r w:rsidR="008455FA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,مصر,</w:t>
      </w:r>
      <w:r w:rsidR="00EE3AB2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الأردن</w:t>
      </w:r>
      <w:r w:rsidR="008455FA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,</w:t>
      </w:r>
      <w:r w:rsid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EE3AB2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إيران</w:t>
      </w:r>
      <w:r w:rsidR="008455FA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,تركيا)</w:t>
      </w:r>
    </w:p>
    <w:p w:rsidR="008455FA" w:rsidRPr="00EE3AB2" w:rsidRDefault="008455FA" w:rsidP="00E762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تعفى</w:t>
      </w:r>
      <w:r w:rsidR="005E1AA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مستحضرات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الشركات </w:t>
      </w:r>
      <w:r w:rsidR="00EE3AB2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الإيرانية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(تصنيف </w:t>
      </w:r>
      <w:r w:rsidRPr="00EE3AB2">
        <w:rPr>
          <w:rFonts w:ascii="Times New Roman" w:eastAsia="Times New Roman" w:hAnsi="Times New Roman" w:cs="Times New Roman"/>
          <w:sz w:val="28"/>
          <w:szCs w:val="28"/>
          <w:lang w:bidi="ar-IQ"/>
        </w:rPr>
        <w:t>A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) 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و</w:t>
      </w:r>
      <w:r w:rsidR="005E1AA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الكورية الجنوبية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والتركية</w:t>
      </w:r>
      <w:r w:rsid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من الشها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دات الواردة في (ب) وتقدم الشهادات كما في (</w:t>
      </w:r>
      <w:r w:rsidR="005E1AA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ت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) ولكن دون تحديد الدول</w:t>
      </w:r>
      <w:r w:rsidR="00573CCE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تين .</w:t>
      </w:r>
    </w:p>
    <w:p w:rsidR="00573CCE" w:rsidRDefault="008455FA" w:rsidP="00E762C0">
      <w:pPr>
        <w:tabs>
          <w:tab w:val="left" w:pos="15"/>
          <w:tab w:val="center" w:pos="1134"/>
          <w:tab w:val="left" w:pos="1275"/>
        </w:tabs>
        <w:bidi/>
        <w:spacing w:after="0" w:line="240" w:lineRule="auto"/>
        <w:ind w:right="-2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E179E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توضيح</w:t>
      </w:r>
      <w:r w:rsidR="00573CC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: </w:t>
      </w:r>
    </w:p>
    <w:p w:rsidR="005E1592" w:rsidRDefault="00573CCE" w:rsidP="00E762C0">
      <w:pPr>
        <w:tabs>
          <w:tab w:val="left" w:pos="15"/>
          <w:tab w:val="center" w:pos="1134"/>
          <w:tab w:val="left" w:pos="1275"/>
        </w:tabs>
        <w:bidi/>
        <w:spacing w:after="0" w:line="240" w:lineRule="auto"/>
        <w:ind w:right="-251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في حال </w:t>
      </w:r>
      <w:r w:rsidR="005E159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إن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الشركة المسجلة تقع ضمن فقرة (ت) فيمكن الاعتماد على شهادة تسجيل </w:t>
      </w:r>
      <w:r w:rsidR="005E159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أو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تسويق واحدة من ضمن الدول المعتمدة إضافة </w:t>
      </w:r>
      <w:r w:rsidR="005E159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إلى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شهادة تسجيل للمستحضر الصيدلاني (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CPP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) من بلد المنشأ .</w:t>
      </w:r>
    </w:p>
    <w:p w:rsidR="002B5083" w:rsidRPr="005E1592" w:rsidRDefault="002B5083" w:rsidP="00E762C0">
      <w:pPr>
        <w:pStyle w:val="ListParagraph"/>
        <w:numPr>
          <w:ilvl w:val="0"/>
          <w:numId w:val="15"/>
        </w:numPr>
        <w:tabs>
          <w:tab w:val="left" w:pos="15"/>
          <w:tab w:val="center" w:pos="1134"/>
          <w:tab w:val="left" w:pos="1275"/>
        </w:tabs>
        <w:spacing w:after="0" w:line="240" w:lineRule="auto"/>
        <w:ind w:left="1112" w:right="-251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5E159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شهادة </w:t>
      </w:r>
      <w:r w:rsidR="005E1592" w:rsidRPr="005E159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تسعيرة المستحضر مصدقة أصولياً</w:t>
      </w:r>
      <w:r w:rsidRPr="005E159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تتضمن التالي:</w:t>
      </w:r>
    </w:p>
    <w:p w:rsidR="002B5083" w:rsidRPr="00E179EC" w:rsidRDefault="002B5083" w:rsidP="00E762C0">
      <w:pPr>
        <w:numPr>
          <w:ilvl w:val="0"/>
          <w:numId w:val="3"/>
        </w:numPr>
        <w:tabs>
          <w:tab w:val="left" w:pos="15"/>
          <w:tab w:val="center" w:pos="1134"/>
          <w:tab w:val="left" w:pos="1275"/>
        </w:tabs>
        <w:bidi/>
        <w:spacing w:after="0" w:line="240" w:lineRule="auto"/>
        <w:ind w:right="-2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سعر الفاتورة </w:t>
      </w:r>
      <w:r w:rsidRPr="00E179EC">
        <w:rPr>
          <w:rFonts w:ascii="Times New Roman" w:eastAsia="Times New Roman" w:hAnsi="Times New Roman" w:cs="Times New Roman"/>
          <w:sz w:val="28"/>
          <w:szCs w:val="28"/>
          <w:lang w:bidi="ar-IQ"/>
        </w:rPr>
        <w:t>EX-factory</w:t>
      </w:r>
    </w:p>
    <w:p w:rsidR="002B5083" w:rsidRPr="00E179EC" w:rsidRDefault="002B5083" w:rsidP="00E762C0">
      <w:pPr>
        <w:numPr>
          <w:ilvl w:val="0"/>
          <w:numId w:val="3"/>
        </w:numPr>
        <w:tabs>
          <w:tab w:val="left" w:pos="15"/>
          <w:tab w:val="center" w:pos="1134"/>
          <w:tab w:val="left" w:pos="1275"/>
        </w:tabs>
        <w:bidi/>
        <w:spacing w:after="0" w:line="240" w:lineRule="auto"/>
        <w:ind w:right="-2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سعر الـ </w:t>
      </w:r>
      <w:r w:rsidRPr="00E179EC">
        <w:rPr>
          <w:rFonts w:ascii="Times New Roman" w:eastAsia="Times New Roman" w:hAnsi="Times New Roman" w:cs="Times New Roman"/>
          <w:sz w:val="28"/>
          <w:szCs w:val="28"/>
          <w:lang w:bidi="ar-IQ"/>
        </w:rPr>
        <w:t>CIF</w:t>
      </w:r>
      <w:r w:rsidRPr="00E179EC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للعراق</w:t>
      </w:r>
    </w:p>
    <w:p w:rsidR="002B5083" w:rsidRPr="00EE3AB2" w:rsidRDefault="002B5083" w:rsidP="00E762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سعر الـ </w:t>
      </w:r>
      <w:r w:rsidRPr="00EE3AB2">
        <w:rPr>
          <w:rFonts w:ascii="Times New Roman" w:eastAsia="Times New Roman" w:hAnsi="Times New Roman" w:cs="Times New Roman"/>
          <w:sz w:val="28"/>
          <w:szCs w:val="28"/>
          <w:lang w:bidi="ar-IQ"/>
        </w:rPr>
        <w:t>CIF</w:t>
      </w:r>
      <w:r w:rsid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للدول الأوربية</w:t>
      </w:r>
      <w:r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 التالية وحسب المتوفر 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( النمسا / بلجيكا / الدنمارك / فنلندا / فرنسا / المانيا / ايرلندا /  اسبانيا / النرويج / هولندا / السويد / بريطانيا / ايطاليا / البرتغال / اليونان/ رومانيا  )</w:t>
      </w:r>
    </w:p>
    <w:p w:rsidR="002B5083" w:rsidRPr="00EE3AB2" w:rsidRDefault="002B5083" w:rsidP="00E852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lastRenderedPageBreak/>
        <w:t xml:space="preserve"> سعر الـ </w:t>
      </w:r>
      <w:r w:rsidRPr="00EE3AB2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CIF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لدول جوار العراق وحسب توفرها (سوريا, الكويت, تركيا, </w:t>
      </w:r>
      <w:r w:rsidR="007356F4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إيران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, </w:t>
      </w:r>
      <w:r w:rsidR="007356F4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الأردن</w:t>
      </w:r>
      <w:r w:rsidR="00E852AD" w:rsidRPr="00E852A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E852A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وا</w:t>
      </w:r>
      <w:r w:rsidR="00E852AD" w:rsidRPr="00EE3AB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لسعودية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)</w:t>
      </w:r>
    </w:p>
    <w:p w:rsidR="00EE3AB2" w:rsidRDefault="00EE3AB2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u w:val="single"/>
          <w:rtl/>
          <w:lang w:eastAsia="ja-JP" w:bidi="ar-IQ"/>
        </w:rPr>
      </w:pPr>
    </w:p>
    <w:p w:rsidR="002B5083" w:rsidRPr="00E179EC" w:rsidRDefault="002B5083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 w:rsidRPr="00E179EC">
        <w:rPr>
          <w:rFonts w:ascii="Times New Roman" w:eastAsia="MS Mincho" w:hAnsi="Times New Roman" w:cs="Times New Roman" w:hint="cs"/>
          <w:b/>
          <w:bCs/>
          <w:sz w:val="28"/>
          <w:szCs w:val="28"/>
          <w:u w:val="single"/>
          <w:rtl/>
          <w:lang w:eastAsia="ja-JP" w:bidi="ar-IQ"/>
        </w:rPr>
        <w:t>توضيح:</w:t>
      </w:r>
      <w:r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يقدم السعر </w:t>
      </w:r>
      <w:r w:rsidR="007356F4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إما</w:t>
      </w:r>
      <w:r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بعملة الدولار </w:t>
      </w:r>
      <w:r w:rsidR="007356F4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أو</w:t>
      </w:r>
      <w:r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عملة اليورو</w:t>
      </w:r>
    </w:p>
    <w:p w:rsidR="002B5083" w:rsidRPr="00E179EC" w:rsidRDefault="002B5083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2B5083" w:rsidRPr="00EE3AB2" w:rsidRDefault="002B5083" w:rsidP="00E762C0">
      <w:pPr>
        <w:pStyle w:val="ListParagraph"/>
        <w:numPr>
          <w:ilvl w:val="0"/>
          <w:numId w:val="15"/>
        </w:numPr>
        <w:spacing w:after="0" w:line="240" w:lineRule="auto"/>
        <w:ind w:left="970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نسخة من الشهادة</w:t>
      </w:r>
      <w:r w:rsid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EE3AB2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الأوربية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Pr="00EE3AB2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Certificate of suitability</w:t>
      </w:r>
      <w:r w:rsidR="00E852AD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(COS)</w:t>
      </w:r>
      <w:r w:rsid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للمواد الأولية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الفعالة الداخلة في تركيبة المستحضر </w:t>
      </w:r>
      <w:r w:rsidR="00EE3AB2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مختومة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بختم حي من قبل الشركة  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المصنعة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للمستحضر .</w:t>
      </w:r>
    </w:p>
    <w:p w:rsidR="002B5083" w:rsidRPr="00E179EC" w:rsidRDefault="00E852AD" w:rsidP="00E852AD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val="en-GB" w:eastAsia="ja-JP" w:bidi="ar-IQ"/>
        </w:rPr>
      </w:pP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       </w:t>
      </w:r>
      <w:r w:rsidRPr="00E852AD">
        <w:rPr>
          <w:rFonts w:ascii="Times New Roman" w:eastAsia="MS Mincho" w:hAnsi="Times New Roman" w:cs="Times New Roman" w:hint="cs"/>
          <w:b/>
          <w:bCs/>
          <w:sz w:val="28"/>
          <w:szCs w:val="28"/>
          <w:rtl/>
          <w:lang w:eastAsia="ja-JP" w:bidi="ar-IQ"/>
        </w:rPr>
        <w:t>او</w:t>
      </w:r>
      <w:r w:rsidR="002B5083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تقدم نسخة من شهادة ال </w:t>
      </w:r>
      <w:r w:rsidR="002B5083"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GMP</w:t>
      </w:r>
      <w:r w:rsidR="002B5083" w:rsidRPr="00E179EC"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 xml:space="preserve"> 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>صادرة من السلطة الحكومية في بلد ا</w:t>
      </w:r>
      <w:r w:rsidR="002B5083" w:rsidRPr="00E179EC"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 xml:space="preserve">لشركة المصنعة للمواد </w:t>
      </w:r>
      <w:r w:rsidR="00EE3AB2" w:rsidRPr="00E179EC"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>الأولية</w:t>
      </w:r>
      <w:r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 xml:space="preserve"> الفعالة في حالة عدم توفر</w:t>
      </w:r>
      <w:r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 </w:t>
      </w: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(</w:t>
      </w:r>
      <w:r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COS</w:t>
      </w:r>
      <w:r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>)</w:t>
      </w:r>
      <w:r w:rsidR="002B5083" w:rsidRPr="00E179EC"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 xml:space="preserve">  وتكون مختومة بختم حي من قبل الشركة 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 xml:space="preserve">المصنعة </w:t>
      </w:r>
      <w:r w:rsidR="002B5083" w:rsidRPr="00E179EC"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 xml:space="preserve"> للمستحضر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val="en-GB" w:eastAsia="ja-JP" w:bidi="ar-IQ"/>
        </w:rPr>
        <w:t>.</w:t>
      </w:r>
    </w:p>
    <w:p w:rsidR="002B5083" w:rsidRPr="00E179EC" w:rsidRDefault="002B5083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val="en-GB" w:eastAsia="ja-JP" w:bidi="ar-IQ"/>
        </w:rPr>
      </w:pPr>
    </w:p>
    <w:p w:rsidR="002B5083" w:rsidRPr="00EE3AB2" w:rsidRDefault="002B5083" w:rsidP="00E762C0">
      <w:pPr>
        <w:pStyle w:val="ListParagraph"/>
        <w:numPr>
          <w:ilvl w:val="0"/>
          <w:numId w:val="15"/>
        </w:numPr>
        <w:spacing w:after="0" w:line="240" w:lineRule="auto"/>
        <w:ind w:left="970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نسخه من شهادة سلامة من الجلاتين والمنتجات من مصدر حيواني من </w:t>
      </w:r>
      <w:r w:rsidRPr="00EE3AB2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Bovine Spongy-encephalopathy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مختوم</w:t>
      </w:r>
      <w:r w:rsid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ة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بختم حي من قبل الشركة المسجلة للمستحضر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.</w:t>
      </w:r>
    </w:p>
    <w:p w:rsidR="002B5083" w:rsidRPr="00E179EC" w:rsidRDefault="002B5083" w:rsidP="00E762C0">
      <w:pPr>
        <w:bidi/>
        <w:spacing w:after="0" w:line="240" w:lineRule="auto"/>
        <w:ind w:left="1080"/>
        <w:contextualSpacing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2B5083" w:rsidRPr="00EE3AB2" w:rsidRDefault="002B5083" w:rsidP="00E852AD">
      <w:pPr>
        <w:pStyle w:val="ListParagraph"/>
        <w:numPr>
          <w:ilvl w:val="0"/>
          <w:numId w:val="15"/>
        </w:numPr>
        <w:spacing w:after="0" w:line="240" w:lineRule="auto"/>
        <w:ind w:left="970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رسالة من الشركة المصنعة تؤكد خلو المستحضر النهائي من مشتقات الخنزير(مصدر حلال وحسب الشريعة </w:t>
      </w:r>
      <w:r w:rsidR="00EE3AB2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الإسلامية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) </w:t>
      </w:r>
      <w:r w:rsidR="00EE3AB2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أصلية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ومختومة بختم حي من قبل الشركة المسجلة للمستحضر</w:t>
      </w:r>
      <w:r w:rsidR="00E852AD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وفي حال عدم استطاعة الشركة تقديمها فيمكن تقديم شهادات تثبت تسويقها ف</w:t>
      </w:r>
      <w:r w:rsidR="00E852AD"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  <w:t>ي</w:t>
      </w:r>
      <w:r w:rsidR="00E852AD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الدول الإسلامية(إيران والسعودية)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.</w:t>
      </w:r>
    </w:p>
    <w:p w:rsidR="002B5083" w:rsidRPr="00E179EC" w:rsidRDefault="002B5083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</w:p>
    <w:p w:rsidR="002B5083" w:rsidRPr="006D6840" w:rsidRDefault="00E2271B" w:rsidP="00E762C0">
      <w:pPr>
        <w:pStyle w:val="ListParagraph"/>
        <w:numPr>
          <w:ilvl w:val="0"/>
          <w:numId w:val="15"/>
        </w:numPr>
        <w:spacing w:after="0" w:line="240" w:lineRule="auto"/>
        <w:ind w:left="970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دراسة التكافؤ </w:t>
      </w:r>
      <w:r w:rsidR="00EE3AB2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أو</w:t>
      </w:r>
      <w:r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التوافر الحيوي و </w:t>
      </w:r>
      <w:r w:rsidR="00A555EC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يتم اعتماد دراسات التكافؤ الحيوي من المراكز البحثية المعتمدة من قبل لجنة التكافؤ</w:t>
      </w:r>
      <w:r w:rsidR="00EE3AB2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A555EC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في الوزارة وفي حالة تقديم دراسة من خارج المراكز يمكن </w:t>
      </w:r>
      <w:r w:rsidR="00C959BA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ال</w:t>
      </w:r>
      <w:r w:rsidR="00A555EC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تقديم </w:t>
      </w:r>
      <w:r w:rsidR="00C959BA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للحصول  عل الا</w:t>
      </w:r>
      <w:r w:rsidR="00A555EC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عتمادية</w:t>
      </w:r>
      <w:r w:rsidR="00EE3AB2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C959BA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وحسب الضوابط التي تضعها ا</w:t>
      </w:r>
      <w:r w:rsidR="00C959BA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للجن</w:t>
      </w:r>
      <w:r w:rsidR="00C959BA" w:rsidRPr="00EE3AB2"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  <w:t>ة</w:t>
      </w:r>
      <w:r w:rsidR="00A555EC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الم</w:t>
      </w:r>
      <w:r w:rsidR="00C959BA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ختصة</w:t>
      </w:r>
      <w:r w:rsidR="00A555EC" w:rsidRPr="00EE3AB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لذلك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.</w:t>
      </w:r>
    </w:p>
    <w:p w:rsidR="002B5083" w:rsidRPr="006D6840" w:rsidRDefault="002B5083" w:rsidP="00E762C0">
      <w:pPr>
        <w:pStyle w:val="ListParagraph"/>
        <w:numPr>
          <w:ilvl w:val="0"/>
          <w:numId w:val="15"/>
        </w:numPr>
        <w:spacing w:after="0" w:line="240" w:lineRule="auto"/>
        <w:ind w:left="970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قائمة بأسماء البلدان المسجل فيها المستحضر تتضمن رقم وتاريخ التسجيل اصلية ومختومة بختم حي من قبل الشركة.</w:t>
      </w:r>
    </w:p>
    <w:p w:rsidR="002B5083" w:rsidRPr="006D6840" w:rsidRDefault="002B5083" w:rsidP="00E762C0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ind w:left="970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نماذج عدد 2 للمستحضر غير منتهية المفعول .</w:t>
      </w:r>
    </w:p>
    <w:p w:rsidR="00E2271B" w:rsidRDefault="002B5083" w:rsidP="00260E42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ind w:left="970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صورة </w:t>
      </w:r>
      <w:r w:rsidR="00260E4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ملونة ل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لباكيت الخارجي </w:t>
      </w:r>
      <w:r w:rsidR="00A555EC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يتضمن (الشركة المسوقة والمصنعة)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, النشرة الداخلية </w:t>
      </w:r>
      <w:r w:rsidR="00E2271B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باللغة العربية والانكليزية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, الرق</w:t>
      </w:r>
      <w:r w:rsidR="00E2271B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عة الداخلية مختومة بختم الشركة</w:t>
      </w:r>
      <w:r w:rsid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.</w:t>
      </w:r>
    </w:p>
    <w:p w:rsidR="00543595" w:rsidRPr="00543595" w:rsidRDefault="00543595" w:rsidP="00E762C0">
      <w:pPr>
        <w:tabs>
          <w:tab w:val="left" w:pos="1112"/>
        </w:tabs>
        <w:bidi/>
        <w:spacing w:after="0" w:line="240" w:lineRule="auto"/>
        <w:ind w:left="435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</w:p>
    <w:p w:rsidR="00E2271B" w:rsidRDefault="00E2271B" w:rsidP="00E762C0">
      <w:pPr>
        <w:pStyle w:val="ListParagraph"/>
        <w:numPr>
          <w:ilvl w:val="0"/>
          <w:numId w:val="12"/>
        </w:numPr>
        <w:spacing w:after="0" w:line="240" w:lineRule="auto"/>
        <w:ind w:hanging="175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في حالة احتواء المستحضر</w:t>
      </w:r>
      <w:r w:rsidR="00260E4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(</w:t>
      </w:r>
      <w:r w:rsidR="00260E42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INJECTION OR DROP</w:t>
      </w:r>
      <w:r w:rsidR="00260E4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)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على مادة </w:t>
      </w:r>
      <w:proofErr w:type="spellStart"/>
      <w:r w:rsidRPr="006D6840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Metabisulphite</w:t>
      </w:r>
      <w:proofErr w:type="spellEnd"/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, يتم كتابة التحذير التالي على الباكيت الخارجي والنشرة الداخلية .</w:t>
      </w:r>
    </w:p>
    <w:p w:rsidR="00543595" w:rsidRPr="00543595" w:rsidRDefault="00543595" w:rsidP="00E762C0">
      <w:pPr>
        <w:bidi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</w:p>
    <w:p w:rsidR="00543595" w:rsidRDefault="00065B1F" w:rsidP="00E762C0">
      <w:pPr>
        <w:pStyle w:val="ListParagraph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This product contain </w:t>
      </w:r>
      <w:proofErr w:type="spellStart"/>
      <w:r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metabisulphite</w:t>
      </w:r>
      <w:proofErr w:type="spellEnd"/>
      <w:r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 which may cause </w:t>
      </w:r>
      <w:proofErr w:type="spellStart"/>
      <w:r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broncho</w:t>
      </w:r>
      <w:proofErr w:type="spellEnd"/>
      <w:r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 spasm in atopic </w:t>
      </w:r>
    </w:p>
    <w:p w:rsidR="00543595" w:rsidRDefault="00543595" w:rsidP="006C08BA">
      <w:pPr>
        <w:pStyle w:val="ListParagraph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. </w:t>
      </w:r>
      <w:proofErr w:type="gramStart"/>
      <w:r w:rsidR="00065B1F"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Allerg</w:t>
      </w:r>
      <w:r w:rsidR="006C08BA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ic</w:t>
      </w:r>
      <w:r w:rsidR="00065B1F"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 and Asthmatic subject.</w:t>
      </w:r>
      <w:proofErr w:type="gramEnd"/>
    </w:p>
    <w:p w:rsidR="00543595" w:rsidRPr="00543595" w:rsidRDefault="00543595" w:rsidP="00E762C0">
      <w:pPr>
        <w:pStyle w:val="ListParagraph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C959BA" w:rsidRPr="00E179EC" w:rsidRDefault="00C959BA" w:rsidP="00E762C0">
      <w:pPr>
        <w:bidi/>
        <w:spacing w:after="0" w:line="240" w:lineRule="auto"/>
        <w:ind w:left="686"/>
        <w:contextualSpacing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ب-</w:t>
      </w:r>
      <w:r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يتم تثبيت درجة حرارة الخزن على الباكيت بالصيغة التالية :- </w:t>
      </w:r>
    </w:p>
    <w:p w:rsidR="00C959BA" w:rsidRPr="00E179EC" w:rsidRDefault="00C959BA" w:rsidP="00E762C0">
      <w:pPr>
        <w:tabs>
          <w:tab w:val="left" w:pos="8410"/>
        </w:tabs>
        <w:bidi/>
        <w:spacing w:after="0" w:line="240" w:lineRule="auto"/>
        <w:ind w:left="965"/>
        <w:contextualSpacing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proofErr w:type="gramStart"/>
      <w:r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store</w:t>
      </w:r>
      <w:proofErr w:type="gramEnd"/>
      <w:r w:rsidRPr="00E179EC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 below 30°</w:t>
      </w: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المواد التي لا تتطلب ظروف خزن خاصة او(</w:t>
      </w:r>
      <w:r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15-30</w:t>
      </w: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)</w:t>
      </w:r>
    </w:p>
    <w:p w:rsidR="00065B1F" w:rsidRPr="00E179EC" w:rsidRDefault="00065B1F" w:rsidP="00E762C0">
      <w:pPr>
        <w:pStyle w:val="ListParagraph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065B1F" w:rsidRPr="005E1592" w:rsidRDefault="00065B1F" w:rsidP="00E762C0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ind w:left="970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تركيبة المستحضر</w:t>
      </w:r>
      <w:r w:rsid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مختومة من قبل الجهة المصنعة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.</w:t>
      </w:r>
    </w:p>
    <w:p w:rsidR="00065B1F" w:rsidRPr="005E1592" w:rsidRDefault="005E1592" w:rsidP="00E762C0">
      <w:pPr>
        <w:bidi/>
        <w:spacing w:after="0" w:line="240" w:lineRule="auto"/>
        <w:ind w:left="686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 </w:t>
      </w:r>
      <w:r w:rsidR="00065B1F" w:rsidRPr="005E159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تقدم شهادة سلامة المستحضر من مادة </w:t>
      </w:r>
      <w:proofErr w:type="spellStart"/>
      <w:r w:rsidR="00065B1F" w:rsidRPr="005E1592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diethylene</w:t>
      </w:r>
      <w:proofErr w:type="spellEnd"/>
      <w:r w:rsidR="00065B1F" w:rsidRPr="005E1592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 glycol</w:t>
      </w:r>
      <w:r w:rsidR="00065B1F" w:rsidRPr="005E159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مختومة بختم الشركة لكل صفحة في حالة احتواء المستحضر على الـ </w:t>
      </w:r>
      <w:r w:rsidR="00065B1F" w:rsidRPr="005E1592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propylene glycol</w:t>
      </w:r>
    </w:p>
    <w:p w:rsidR="00065B1F" w:rsidRPr="006D6840" w:rsidRDefault="00065B1F" w:rsidP="00E762C0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مواصفات المادة الفعالة وغير الفعالة</w:t>
      </w:r>
      <w:r w:rsid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15699F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مختومة من قبل الجهة المصنعة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.</w:t>
      </w:r>
    </w:p>
    <w:p w:rsidR="00065B1F" w:rsidRPr="006D6840" w:rsidRDefault="00065B1F" w:rsidP="00E762C0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طريقة تصنيع المستحضر</w:t>
      </w:r>
      <w:r w:rsidR="00840E6D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مختومة من قبل الجهة المصنعة 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.</w:t>
      </w:r>
    </w:p>
    <w:p w:rsidR="00065B1F" w:rsidRPr="006D6840" w:rsidRDefault="00840E6D" w:rsidP="00E762C0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lastRenderedPageBreak/>
        <w:t>طريقة تحليل المستحضر</w:t>
      </w:r>
      <w:r w:rsid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مختومة من قبل الجهة المصنعة </w:t>
      </w:r>
    </w:p>
    <w:p w:rsidR="00065B1F" w:rsidRPr="006D6840" w:rsidRDefault="00065B1F" w:rsidP="00E762C0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تقييم(</w:t>
      </w:r>
      <w:r w:rsidRPr="006D6840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validation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) طريقة التحليل</w:t>
      </w:r>
      <w:r w:rsid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15699F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في حالة الطر</w:t>
      </w:r>
      <w:r w:rsidR="00840E6D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ي</w:t>
      </w:r>
      <w:r w:rsidR="0015699F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ق</w:t>
      </w:r>
      <w:r w:rsidR="00840E6D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ة</w:t>
      </w:r>
      <w:r w:rsidR="0015699F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غير دستورية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.</w:t>
      </w:r>
    </w:p>
    <w:p w:rsidR="00065B1F" w:rsidRPr="006D6840" w:rsidRDefault="00065B1F" w:rsidP="00E762C0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مواصفة المستحضر النهائي</w:t>
      </w:r>
      <w:r w:rsidR="00840E6D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مختومة من قبل الجهة المصنعة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.</w:t>
      </w:r>
    </w:p>
    <w:p w:rsidR="00065B1F" w:rsidRPr="006D6840" w:rsidRDefault="00065B1F" w:rsidP="00E762C0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شهادة تحليل المستحضر</w:t>
      </w:r>
      <w:r w:rsid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النهائي</w:t>
      </w:r>
      <w:r w:rsidR="00840E6D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مختومة من قبل الجهة المصنعة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.</w:t>
      </w:r>
    </w:p>
    <w:p w:rsidR="00065B1F" w:rsidRPr="006D6840" w:rsidRDefault="00065B1F" w:rsidP="00E762C0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مواصفة مواد التغليف </w:t>
      </w:r>
      <w:r w:rsidR="006D6840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الأولي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والتغليف الثانوي مع </w:t>
      </w:r>
      <w:r w:rsidR="006D6840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الأبعاد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840E6D"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مختومة من قبل الشركة</w:t>
      </w:r>
      <w:r w:rsidRPr="006D684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.</w:t>
      </w:r>
    </w:p>
    <w:p w:rsidR="00065B1F" w:rsidRPr="005E053E" w:rsidRDefault="002D2884" w:rsidP="006C08BA">
      <w:pPr>
        <w:pStyle w:val="ListParagraph"/>
        <w:numPr>
          <w:ilvl w:val="0"/>
          <w:numId w:val="15"/>
        </w:numPr>
        <w:tabs>
          <w:tab w:val="left" w:pos="1112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val="single"/>
          <w:rtl/>
          <w:lang w:eastAsia="ja-JP" w:bidi="ar-IQ"/>
        </w:rPr>
      </w:pPr>
      <w:r w:rsidRPr="002D2884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تقديم دراسة </w:t>
      </w:r>
      <w:r w:rsidR="00065B1F" w:rsidRPr="002D2884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ثبات</w:t>
      </w:r>
      <w:r w:rsidRPr="002D2884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ية</w:t>
      </w:r>
      <w:r w:rsidR="00065B1F" w:rsidRPr="002D2884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260E42" w:rsidRPr="002D2884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للمستحضر تبر</w:t>
      </w:r>
      <w:r w:rsidR="00260E42" w:rsidRPr="002D2884"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  <w:t>ر</w:t>
      </w:r>
      <w:r w:rsidRPr="002D2884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فترة الصلاحية للمستحضر بدرجة حرارة 30 م</w:t>
      </w:r>
      <w:r w:rsidR="006C08BA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ئ</w:t>
      </w:r>
      <w:r w:rsidRPr="002D2884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وي </w:t>
      </w:r>
      <w:r w:rsidR="007A3C3D" w:rsidRPr="002D2884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Pr="002D2884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وحسب التصنيف المناخي للعراق</w:t>
      </w:r>
      <w:r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. zone VI </w:t>
      </w:r>
    </w:p>
    <w:p w:rsidR="00065B1F" w:rsidRDefault="00543595" w:rsidP="00E762C0">
      <w:pPr>
        <w:pStyle w:val="ListParagraph"/>
        <w:spacing w:after="0" w:line="240" w:lineRule="auto"/>
        <w:ind w:left="686" w:hanging="141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21 -</w:t>
      </w:r>
      <w:r w:rsidRPr="00543595"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 w:bidi="ar-IQ"/>
        </w:rPr>
        <w:t>In process specification</w:t>
      </w:r>
      <w:r w:rsidR="00E762C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مختومة بختم الشركة.</w:t>
      </w:r>
    </w:p>
    <w:p w:rsidR="005C1CF3" w:rsidRDefault="005C1CF3" w:rsidP="00E762C0">
      <w:pPr>
        <w:pStyle w:val="ListParagraph"/>
        <w:spacing w:after="0" w:line="240" w:lineRule="auto"/>
        <w:ind w:left="686" w:hanging="141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7A3C3D" w:rsidRPr="00E179EC" w:rsidRDefault="007A3C3D" w:rsidP="00E762C0">
      <w:pPr>
        <w:tabs>
          <w:tab w:val="left" w:pos="8410"/>
        </w:tabs>
        <w:bidi/>
        <w:spacing w:after="0" w:line="240" w:lineRule="auto"/>
        <w:ind w:left="965"/>
        <w:contextualSpacing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 w:rsidRPr="00E179EC"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  <w:tab/>
      </w:r>
    </w:p>
    <w:p w:rsidR="007A3C3D" w:rsidRPr="00E179EC" w:rsidRDefault="00277810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ثانياً</w:t>
      </w:r>
      <w:r w:rsidR="00C838BE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:- </w:t>
      </w:r>
      <w:r w:rsidR="006D6840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إعادة</w:t>
      </w:r>
      <w:r w:rsidR="00C838BE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التسجيل </w:t>
      </w:r>
    </w:p>
    <w:p w:rsidR="00C838BE" w:rsidRDefault="00947159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يعاد تسجيل المستحضر 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كل</w:t>
      </w:r>
      <w:r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خمس سنوات</w:t>
      </w:r>
      <w:r w:rsidR="007F16B3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عل أن يتم تقديم متطلبات أعادة التسجيل قبل ثلاثة أشهر من انتهاء مدة التسجيل(خمس سنوات)</w:t>
      </w:r>
      <w:r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.</w:t>
      </w:r>
    </w:p>
    <w:p w:rsidR="007F16B3" w:rsidRPr="00E179EC" w:rsidRDefault="007F16B3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ويعتبر التسجيل لاغيا في حال عدم تقديم المبررات بعد مرور ستة أشهر من انتهاء المدة</w:t>
      </w:r>
    </w:p>
    <w:p w:rsidR="00947159" w:rsidRPr="00E179EC" w:rsidRDefault="00947159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947159" w:rsidRPr="00E179EC" w:rsidRDefault="00277810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ثالثاً</w:t>
      </w:r>
      <w:r w:rsidR="005E1592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: </w:t>
      </w:r>
      <w:r w:rsidR="00947159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6D6840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التأكيد</w:t>
      </w:r>
      <w:r w:rsidR="00947159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على تطبيق الشروط </w:t>
      </w:r>
      <w:r w:rsidR="006D6840" w:rsidRPr="00E179EC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أدناه</w:t>
      </w:r>
    </w:p>
    <w:p w:rsidR="00543595" w:rsidRDefault="00947159" w:rsidP="00E762C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يلغى تسجيل المستحضر في حالة </w:t>
      </w:r>
      <w:r w:rsidR="005E1592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عدم مطابقته </w:t>
      </w:r>
      <w:r w:rsidR="006D6840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7F16B3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للمواصفات في المركز الوطني للرقابة والبحوث الدوائية</w:t>
      </w:r>
      <w:r w:rsidR="005E1592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543595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ل</w:t>
      </w:r>
      <w:r w:rsidR="006D6840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مرتين خلال سنة و</w:t>
      </w:r>
      <w:r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لوجبتين مختلفتين</w:t>
      </w:r>
      <w:r w:rsidR="00543595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للشركات الأجنبية وثلاث مرات للمصانع الوطنية .</w:t>
      </w:r>
    </w:p>
    <w:p w:rsidR="00E762C0" w:rsidRPr="00E762C0" w:rsidRDefault="00E762C0" w:rsidP="00E762C0">
      <w:pPr>
        <w:bidi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</w:p>
    <w:p w:rsidR="00947159" w:rsidRDefault="00947159" w:rsidP="00E762C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 w:bidi="ar-IQ"/>
        </w:rPr>
      </w:pPr>
      <w:r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يلغى تسجيل الشركة </w:t>
      </w:r>
      <w:r w:rsid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الأجنبية </w:t>
      </w:r>
      <w:r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في حال وجود </w:t>
      </w:r>
      <w:r w:rsidR="007A643F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ثلاث مستحضرات غير مطابقة</w:t>
      </w:r>
      <w:r w:rsidR="00543595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للمواصفات في المركز الوطني للرقابة والبحوث الدوائية</w:t>
      </w:r>
      <w:r w:rsidR="006D6840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</w:t>
      </w:r>
      <w:r w:rsidR="007A643F" w:rsidRPr="00543595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خلال سنة واحدة . </w:t>
      </w:r>
    </w:p>
    <w:p w:rsidR="00E762C0" w:rsidRPr="00E762C0" w:rsidRDefault="00E762C0" w:rsidP="00E762C0">
      <w:pPr>
        <w:pStyle w:val="ListParagraph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E762C0" w:rsidRDefault="00277810" w:rsidP="00EF070A">
      <w:pPr>
        <w:bidi/>
        <w:spacing w:after="0" w:line="240" w:lineRule="auto"/>
        <w:ind w:left="119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رابعاً </w:t>
      </w:r>
      <w:r w:rsidR="00E762C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>:-تطبق هذه التعليمات على الملفات المقدمة للتسجيل</w:t>
      </w:r>
      <w:r w:rsidR="005E1533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و الغير مدفوعة الرسوم</w:t>
      </w:r>
      <w:r w:rsidR="00E762C0"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 بعد تاريخ المصادقة عليه.</w:t>
      </w:r>
    </w:p>
    <w:p w:rsidR="00EE21F6" w:rsidRDefault="00EE21F6" w:rsidP="00EE21F6">
      <w:pPr>
        <w:bidi/>
        <w:spacing w:after="0" w:line="240" w:lineRule="auto"/>
        <w:ind w:left="119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EE21F6" w:rsidRDefault="00EE21F6" w:rsidP="00EE21F6">
      <w:pPr>
        <w:bidi/>
        <w:spacing w:after="0" w:line="240" w:lineRule="auto"/>
        <w:rPr>
          <w:sz w:val="28"/>
          <w:szCs w:val="28"/>
          <w:rtl/>
          <w:lang w:bidi="ar-IQ"/>
        </w:rPr>
      </w:pPr>
      <w:r>
        <w:rPr>
          <w:rFonts w:ascii="Times New Roman" w:eastAsia="MS Mincho" w:hAnsi="Times New Roman" w:cs="Times New Roman" w:hint="cs"/>
          <w:sz w:val="28"/>
          <w:szCs w:val="28"/>
          <w:rtl/>
          <w:lang w:eastAsia="ja-JP" w:bidi="ar-IQ"/>
        </w:rPr>
        <w:t xml:space="preserve">خامساً : </w:t>
      </w:r>
      <w:r>
        <w:rPr>
          <w:rFonts w:hint="cs"/>
          <w:sz w:val="28"/>
          <w:szCs w:val="28"/>
          <w:rtl/>
          <w:lang w:bidi="ar-IQ"/>
        </w:rPr>
        <w:t>يجب أن يكون الموقع او المواقع الإنتاجية للمستحضر مسجلة في قسم التسجيل في الوزارة مع تحديد الشركات المسوقة لها  وكما يذكر في شهادة المستحضر الصيدلاني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CPP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)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2F1013" w:rsidRPr="00E179EC" w:rsidRDefault="002F1013" w:rsidP="002F1013">
      <w:pPr>
        <w:bidi/>
        <w:spacing w:after="0"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سادساً : </w:t>
      </w:r>
      <w:r w:rsidRPr="00E179EC">
        <w:rPr>
          <w:rFonts w:hint="cs"/>
          <w:sz w:val="28"/>
          <w:szCs w:val="28"/>
          <w:rtl/>
          <w:lang w:bidi="ar-IQ"/>
        </w:rPr>
        <w:t>التريث بتطبيق نظام ملف الموحد (</w:t>
      </w:r>
      <w:r w:rsidRPr="0014631E">
        <w:rPr>
          <w:b/>
          <w:bCs/>
          <w:sz w:val="28"/>
          <w:szCs w:val="28"/>
          <w:lang w:bidi="ar-IQ"/>
        </w:rPr>
        <w:t>CTD</w:t>
      </w:r>
      <w:r w:rsidRPr="00E179EC">
        <w:rPr>
          <w:rFonts w:hint="cs"/>
          <w:sz w:val="28"/>
          <w:szCs w:val="28"/>
          <w:rtl/>
          <w:lang w:bidi="ar-IQ"/>
        </w:rPr>
        <w:t xml:space="preserve">) لحين توفر المكان </w:t>
      </w:r>
      <w:r>
        <w:rPr>
          <w:rFonts w:hint="cs"/>
          <w:sz w:val="28"/>
          <w:szCs w:val="28"/>
          <w:rtl/>
          <w:lang w:bidi="ar-IQ"/>
        </w:rPr>
        <w:t>الإمكانيات المطلوبة لذلك.</w:t>
      </w:r>
    </w:p>
    <w:p w:rsidR="002F1013" w:rsidRDefault="002F1013" w:rsidP="002F1013">
      <w:pPr>
        <w:bidi/>
        <w:spacing w:after="0" w:line="240" w:lineRule="auto"/>
        <w:rPr>
          <w:sz w:val="28"/>
          <w:szCs w:val="28"/>
          <w:rtl/>
          <w:lang w:bidi="ar-IQ"/>
        </w:rPr>
      </w:pPr>
    </w:p>
    <w:p w:rsidR="00EE21F6" w:rsidRDefault="00EE21F6" w:rsidP="00EE21F6">
      <w:pPr>
        <w:bidi/>
        <w:spacing w:after="0" w:line="240" w:lineRule="auto"/>
        <w:ind w:left="119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E762C0" w:rsidRPr="00E179EC" w:rsidRDefault="00E762C0" w:rsidP="00E762C0">
      <w:pPr>
        <w:bidi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rtl/>
          <w:lang w:eastAsia="ja-JP" w:bidi="ar-IQ"/>
        </w:rPr>
      </w:pPr>
    </w:p>
    <w:p w:rsidR="00584695" w:rsidRDefault="00584695" w:rsidP="00584695">
      <w:pPr>
        <w:bidi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rtl/>
          <w:lang w:eastAsia="ja-JP" w:bidi="ar-IQ"/>
        </w:rPr>
      </w:pPr>
    </w:p>
    <w:p w:rsidR="00584695" w:rsidRDefault="00584695" w:rsidP="00584695">
      <w:pPr>
        <w:bidi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rtl/>
          <w:lang w:eastAsia="ja-JP" w:bidi="ar-IQ"/>
        </w:rPr>
      </w:pPr>
    </w:p>
    <w:p w:rsidR="00AF4A15" w:rsidRDefault="00AF4A15" w:rsidP="00E762C0">
      <w:pPr>
        <w:bidi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rtl/>
          <w:lang w:eastAsia="ja-JP" w:bidi="ar-IQ"/>
        </w:rPr>
      </w:pPr>
    </w:p>
    <w:sectPr w:rsidR="00AF4A15" w:rsidSect="00E17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2B" w:rsidRDefault="0049212B" w:rsidP="008F7124">
      <w:pPr>
        <w:spacing w:after="0" w:line="240" w:lineRule="auto"/>
      </w:pPr>
      <w:r>
        <w:separator/>
      </w:r>
    </w:p>
  </w:endnote>
  <w:endnote w:type="continuationSeparator" w:id="0">
    <w:p w:rsidR="0049212B" w:rsidRDefault="0049212B" w:rsidP="008F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BA" w:rsidRDefault="00C959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04027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9BA" w:rsidRDefault="002A613F" w:rsidP="001D4F86">
        <w:pPr>
          <w:pStyle w:val="Footer"/>
          <w:bidi/>
          <w:jc w:val="right"/>
        </w:pPr>
        <w:fldSimple w:instr=" PAGE   \* MERGEFORMAT ">
          <w:r w:rsidR="001519FE">
            <w:rPr>
              <w:noProof/>
              <w:rtl/>
            </w:rPr>
            <w:t>3</w:t>
          </w:r>
        </w:fldSimple>
      </w:p>
    </w:sdtContent>
  </w:sdt>
  <w:p w:rsidR="00C959BA" w:rsidRDefault="00C959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BA" w:rsidRDefault="00C95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2B" w:rsidRDefault="0049212B" w:rsidP="008F7124">
      <w:pPr>
        <w:spacing w:after="0" w:line="240" w:lineRule="auto"/>
      </w:pPr>
      <w:r>
        <w:separator/>
      </w:r>
    </w:p>
  </w:footnote>
  <w:footnote w:type="continuationSeparator" w:id="0">
    <w:p w:rsidR="0049212B" w:rsidRDefault="0049212B" w:rsidP="008F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BA" w:rsidRDefault="00C959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BA" w:rsidRDefault="00C959BA" w:rsidP="001D4F86">
    <w:pPr>
      <w:pStyle w:val="Header"/>
      <w:bidi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BA" w:rsidRDefault="00C959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365"/>
    <w:multiLevelType w:val="hybridMultilevel"/>
    <w:tmpl w:val="24F6386C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73773A2"/>
    <w:multiLevelType w:val="hybridMultilevel"/>
    <w:tmpl w:val="AC4C6036"/>
    <w:lvl w:ilvl="0" w:tplc="E3E6807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6F0717"/>
    <w:multiLevelType w:val="hybridMultilevel"/>
    <w:tmpl w:val="8938D12A"/>
    <w:lvl w:ilvl="0" w:tplc="5668688E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605416F"/>
    <w:multiLevelType w:val="hybridMultilevel"/>
    <w:tmpl w:val="FF40F8B2"/>
    <w:lvl w:ilvl="0" w:tplc="3A1812EC">
      <w:start w:val="13"/>
      <w:numFmt w:val="decimal"/>
      <w:lvlText w:val="%1."/>
      <w:lvlJc w:val="left"/>
      <w:pPr>
        <w:ind w:left="2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5C18"/>
    <w:multiLevelType w:val="hybridMultilevel"/>
    <w:tmpl w:val="E7BA73B0"/>
    <w:lvl w:ilvl="0" w:tplc="42F2D0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831B7"/>
    <w:multiLevelType w:val="hybridMultilevel"/>
    <w:tmpl w:val="D83E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E3E71"/>
    <w:multiLevelType w:val="hybridMultilevel"/>
    <w:tmpl w:val="4E14D13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0284C75"/>
    <w:multiLevelType w:val="hybridMultilevel"/>
    <w:tmpl w:val="054A6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D0C9C"/>
    <w:multiLevelType w:val="hybridMultilevel"/>
    <w:tmpl w:val="2F28765A"/>
    <w:lvl w:ilvl="0" w:tplc="B4EAEC30">
      <w:start w:val="1"/>
      <w:numFmt w:val="decimal"/>
      <w:lvlText w:val="%1-"/>
      <w:lvlJc w:val="left"/>
      <w:pPr>
        <w:ind w:left="1069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F06E08"/>
    <w:multiLevelType w:val="hybridMultilevel"/>
    <w:tmpl w:val="8426239A"/>
    <w:lvl w:ilvl="0" w:tplc="3614F2E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8A1C22"/>
    <w:multiLevelType w:val="hybridMultilevel"/>
    <w:tmpl w:val="15887BB8"/>
    <w:lvl w:ilvl="0" w:tplc="B4EAEC30">
      <w:start w:val="1"/>
      <w:numFmt w:val="decimal"/>
      <w:lvlText w:val="%1-"/>
      <w:lvlJc w:val="left"/>
      <w:pPr>
        <w:ind w:left="1069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86E19"/>
    <w:multiLevelType w:val="hybridMultilevel"/>
    <w:tmpl w:val="18B4F2DC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6926303E"/>
    <w:multiLevelType w:val="hybridMultilevel"/>
    <w:tmpl w:val="2F28765A"/>
    <w:lvl w:ilvl="0" w:tplc="B4EAEC30">
      <w:start w:val="1"/>
      <w:numFmt w:val="decimal"/>
      <w:lvlText w:val="%1-"/>
      <w:lvlJc w:val="left"/>
      <w:pPr>
        <w:ind w:left="36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C97C3E"/>
    <w:multiLevelType w:val="hybridMultilevel"/>
    <w:tmpl w:val="05F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A372D"/>
    <w:multiLevelType w:val="hybridMultilevel"/>
    <w:tmpl w:val="EA4876C8"/>
    <w:lvl w:ilvl="0" w:tplc="A0B279AA">
      <w:start w:val="1"/>
      <w:numFmt w:val="arabicAlpha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>
    <w:nsid w:val="74095095"/>
    <w:multiLevelType w:val="hybridMultilevel"/>
    <w:tmpl w:val="2FC64CA6"/>
    <w:lvl w:ilvl="0" w:tplc="107E0B14">
      <w:start w:val="1"/>
      <w:numFmt w:val="arabicAlpha"/>
      <w:lvlText w:val="%1-"/>
      <w:lvlJc w:val="center"/>
      <w:pPr>
        <w:ind w:left="2646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3366" w:hanging="360"/>
      </w:pPr>
    </w:lvl>
    <w:lvl w:ilvl="2" w:tplc="0409001B" w:tentative="1">
      <w:start w:val="1"/>
      <w:numFmt w:val="lowerRoman"/>
      <w:lvlText w:val="%3."/>
      <w:lvlJc w:val="right"/>
      <w:pPr>
        <w:ind w:left="4086" w:hanging="180"/>
      </w:pPr>
    </w:lvl>
    <w:lvl w:ilvl="3" w:tplc="0409000F" w:tentative="1">
      <w:start w:val="1"/>
      <w:numFmt w:val="decimal"/>
      <w:lvlText w:val="%4."/>
      <w:lvlJc w:val="left"/>
      <w:pPr>
        <w:ind w:left="4806" w:hanging="360"/>
      </w:pPr>
    </w:lvl>
    <w:lvl w:ilvl="4" w:tplc="04090019" w:tentative="1">
      <w:start w:val="1"/>
      <w:numFmt w:val="lowerLetter"/>
      <w:lvlText w:val="%5."/>
      <w:lvlJc w:val="left"/>
      <w:pPr>
        <w:ind w:left="5526" w:hanging="360"/>
      </w:pPr>
    </w:lvl>
    <w:lvl w:ilvl="5" w:tplc="0409001B" w:tentative="1">
      <w:start w:val="1"/>
      <w:numFmt w:val="lowerRoman"/>
      <w:lvlText w:val="%6."/>
      <w:lvlJc w:val="right"/>
      <w:pPr>
        <w:ind w:left="6246" w:hanging="180"/>
      </w:pPr>
    </w:lvl>
    <w:lvl w:ilvl="6" w:tplc="0409000F" w:tentative="1">
      <w:start w:val="1"/>
      <w:numFmt w:val="decimal"/>
      <w:lvlText w:val="%7."/>
      <w:lvlJc w:val="left"/>
      <w:pPr>
        <w:ind w:left="6966" w:hanging="360"/>
      </w:pPr>
    </w:lvl>
    <w:lvl w:ilvl="7" w:tplc="04090019" w:tentative="1">
      <w:start w:val="1"/>
      <w:numFmt w:val="lowerLetter"/>
      <w:lvlText w:val="%8."/>
      <w:lvlJc w:val="left"/>
      <w:pPr>
        <w:ind w:left="7686" w:hanging="360"/>
      </w:pPr>
    </w:lvl>
    <w:lvl w:ilvl="8" w:tplc="0409001B" w:tentative="1">
      <w:start w:val="1"/>
      <w:numFmt w:val="lowerRoman"/>
      <w:lvlText w:val="%9."/>
      <w:lvlJc w:val="right"/>
      <w:pPr>
        <w:ind w:left="8406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15"/>
  </w:num>
  <w:num w:numId="6">
    <w:abstractNumId w:val="14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046EA"/>
    <w:rsid w:val="00065B1F"/>
    <w:rsid w:val="00091068"/>
    <w:rsid w:val="00096964"/>
    <w:rsid w:val="000E2065"/>
    <w:rsid w:val="00122DB3"/>
    <w:rsid w:val="00142FDC"/>
    <w:rsid w:val="00144064"/>
    <w:rsid w:val="0014631E"/>
    <w:rsid w:val="0015013B"/>
    <w:rsid w:val="001519FE"/>
    <w:rsid w:val="0015699F"/>
    <w:rsid w:val="001B7C4E"/>
    <w:rsid w:val="001D4F86"/>
    <w:rsid w:val="00260E42"/>
    <w:rsid w:val="002711DD"/>
    <w:rsid w:val="002722D9"/>
    <w:rsid w:val="00277810"/>
    <w:rsid w:val="002A613F"/>
    <w:rsid w:val="002B5083"/>
    <w:rsid w:val="002D2884"/>
    <w:rsid w:val="002F1013"/>
    <w:rsid w:val="00314619"/>
    <w:rsid w:val="003A6AE8"/>
    <w:rsid w:val="003B4BF8"/>
    <w:rsid w:val="0049212B"/>
    <w:rsid w:val="004A5061"/>
    <w:rsid w:val="004C57C9"/>
    <w:rsid w:val="004F2760"/>
    <w:rsid w:val="00504004"/>
    <w:rsid w:val="00543595"/>
    <w:rsid w:val="00555B03"/>
    <w:rsid w:val="00573CCE"/>
    <w:rsid w:val="00584695"/>
    <w:rsid w:val="005C1CF3"/>
    <w:rsid w:val="005C3047"/>
    <w:rsid w:val="005E053E"/>
    <w:rsid w:val="005E1533"/>
    <w:rsid w:val="005E1592"/>
    <w:rsid w:val="005E1AA0"/>
    <w:rsid w:val="006046EA"/>
    <w:rsid w:val="00644644"/>
    <w:rsid w:val="00692CED"/>
    <w:rsid w:val="006C08BA"/>
    <w:rsid w:val="006D6840"/>
    <w:rsid w:val="006E6F72"/>
    <w:rsid w:val="006E782B"/>
    <w:rsid w:val="007356F4"/>
    <w:rsid w:val="00795BAF"/>
    <w:rsid w:val="007A3C3D"/>
    <w:rsid w:val="007A643F"/>
    <w:rsid w:val="007F16B3"/>
    <w:rsid w:val="00825773"/>
    <w:rsid w:val="00840E6D"/>
    <w:rsid w:val="008455FA"/>
    <w:rsid w:val="008B13F2"/>
    <w:rsid w:val="008F7124"/>
    <w:rsid w:val="00907D3C"/>
    <w:rsid w:val="00947159"/>
    <w:rsid w:val="00A166AD"/>
    <w:rsid w:val="00A555EC"/>
    <w:rsid w:val="00A81164"/>
    <w:rsid w:val="00AF268A"/>
    <w:rsid w:val="00AF4A15"/>
    <w:rsid w:val="00B2368F"/>
    <w:rsid w:val="00BA05A3"/>
    <w:rsid w:val="00C7261C"/>
    <w:rsid w:val="00C740E3"/>
    <w:rsid w:val="00C838BE"/>
    <w:rsid w:val="00C959BA"/>
    <w:rsid w:val="00CD045C"/>
    <w:rsid w:val="00D06B01"/>
    <w:rsid w:val="00D31D74"/>
    <w:rsid w:val="00E179EC"/>
    <w:rsid w:val="00E2271B"/>
    <w:rsid w:val="00E24647"/>
    <w:rsid w:val="00E762C0"/>
    <w:rsid w:val="00E852AD"/>
    <w:rsid w:val="00EE21F6"/>
    <w:rsid w:val="00EE3AB2"/>
    <w:rsid w:val="00EF0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BAF"/>
    <w:pPr>
      <w:bidi/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8F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124"/>
  </w:style>
  <w:style w:type="paragraph" w:styleId="Footer">
    <w:name w:val="footer"/>
    <w:basedOn w:val="Normal"/>
    <w:link w:val="FooterChar"/>
    <w:uiPriority w:val="99"/>
    <w:unhideWhenUsed/>
    <w:rsid w:val="008F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124"/>
  </w:style>
  <w:style w:type="paragraph" w:styleId="BalloonText">
    <w:name w:val="Balloon Text"/>
    <w:basedOn w:val="Normal"/>
    <w:link w:val="BalloonTextChar"/>
    <w:uiPriority w:val="99"/>
    <w:semiHidden/>
    <w:unhideWhenUsed/>
    <w:rsid w:val="00E1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6840"/>
    <w:pPr>
      <w:bidi/>
      <w:spacing w:after="0" w:line="240" w:lineRule="auto"/>
      <w:ind w:left="-251" w:right="-251"/>
      <w:jc w:val="center"/>
    </w:pPr>
    <w:rPr>
      <w:rFonts w:ascii="Times New Roman" w:eastAsia="Times New Roman" w:hAnsi="Times New Roman" w:cs="Times New Roman"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6D6840"/>
    <w:rPr>
      <w:rFonts w:ascii="Times New Roman" w:eastAsia="Times New Roman" w:hAnsi="Times New Roman" w:cs="Times New Roman"/>
      <w:sz w:val="20"/>
      <w:szCs w:val="40"/>
    </w:rPr>
  </w:style>
  <w:style w:type="table" w:styleId="TableGrid">
    <w:name w:val="Table Grid"/>
    <w:basedOn w:val="TableNormal"/>
    <w:uiPriority w:val="59"/>
    <w:rsid w:val="005E1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BAF"/>
    <w:pPr>
      <w:bidi/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124"/>
  </w:style>
  <w:style w:type="paragraph" w:styleId="Footer">
    <w:name w:val="footer"/>
    <w:basedOn w:val="Normal"/>
    <w:link w:val="FooterChar"/>
    <w:uiPriority w:val="99"/>
    <w:unhideWhenUsed/>
    <w:rsid w:val="008F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i.t</cp:lastModifiedBy>
  <cp:revision>2</cp:revision>
  <cp:lastPrinted>2014-12-21T06:59:00Z</cp:lastPrinted>
  <dcterms:created xsi:type="dcterms:W3CDTF">2014-12-21T07:00:00Z</dcterms:created>
  <dcterms:modified xsi:type="dcterms:W3CDTF">2014-12-21T07:00:00Z</dcterms:modified>
</cp:coreProperties>
</file>